
<file path=[Content_Types].xml><?xml version="1.0" encoding="utf-8"?>
<Types xmlns="http://schemas.openxmlformats.org/package/2006/content-types">
  <Default Extension="xml" ContentType="application/xml"/>
  <Default Extension="odttf" ContentType="application/vnd.openxmlformats-officedocument.obfuscatedFont"/>
  <Default Extension="rels" ContentType="application/vnd.openxmlformats-package.relationships+xml"/>
  <Default Extension="png" ContentType="image/png"/>
  <Default Extension="psmdcp"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numbering.xml" ContentType="application/vnd.openxmlformats-officedocument.wordprocessingml.numbering+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officeDocument/2006/relationships/extended-properties" Target="docProps/app.xml" Id="Rcd0e908e615448be" /><Relationship Type="http://schemas.openxmlformats.org/package/2006/relationships/metadata/core-properties" Target="package/services/metadata/core-properties/176f6be271ab4afe9ed86b20176243e1.psmdcp" Id="R4448dfe613cc4e82"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body>
    <w:p w:rsidR="32740F3D" w:rsidP="7E185CC6" w:rsidRDefault="32740F3D" w14:paraId="2CC11F53" w14:textId="3895D112">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300" w:line="240" w:lineRule="auto"/>
        <w:rPr>
          <w:rFonts w:ascii="Calibri" w:hAnsi="Calibri" w:eastAsia="Calibri" w:cs="Calibri" w:asciiTheme="majorAscii" w:hAnsiTheme="majorAscii" w:eastAsiaTheme="majorAscii" w:cstheme="majorAscii"/>
          <w:color w:val="17365D" w:themeColor="text2" w:themeTint="FF" w:themeShade="BF"/>
          <w:sz w:val="20"/>
          <w:szCs w:val="20"/>
          <w:rtl w:val="0"/>
          <w:lang w:val="en-US"/>
        </w:rPr>
      </w:pPr>
      <w:r w:rsidRPr="7E185CC6" w:rsidR="32740F3D">
        <w:rPr>
          <w:rFonts w:ascii="Calibri" w:hAnsi="Calibri" w:eastAsia="Calibri" w:cs="Calibri" w:asciiTheme="majorAscii" w:hAnsiTheme="majorAscii" w:eastAsiaTheme="majorAscii" w:cstheme="majorAscii"/>
          <w:color w:val="17365D" w:themeColor="text2" w:themeTint="FF" w:themeShade="BF"/>
          <w:sz w:val="20"/>
          <w:szCs w:val="20"/>
          <w:lang w:val="en-US"/>
        </w:rPr>
        <w:t>October 29, 2026</w:t>
      </w:r>
    </w:p>
    <w:p xmlns:wp14="http://schemas.microsoft.com/office/word/2010/wordml" w:rsidP="7E185CC6" w:rsidRDefault="00000000" w14:paraId="00000002"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300" w:line="240" w:lineRule="auto"/>
        <w:jc w:val="left"/>
        <w:rPr>
          <w:rFonts w:ascii="Calibri" w:hAnsi="Calibri" w:eastAsia="Calibri" w:cs="Calibri" w:asciiTheme="majorAscii" w:hAnsiTheme="majorAscii" w:eastAsiaTheme="majorAscii" w:cstheme="majorAscii"/>
          <w:b w:val="1"/>
          <w:bCs w:val="1"/>
          <w:color w:val="17365d"/>
          <w:sz w:val="28"/>
          <w:szCs w:val="28"/>
          <w:lang w:val="en-US"/>
        </w:rPr>
      </w:pPr>
      <w:r w:rsidRPr="7E185CC6" w:rsidR="7E185CC6">
        <w:rPr>
          <w:rFonts w:ascii="Calibri" w:hAnsi="Calibri" w:eastAsia="Calibri" w:cs="Calibri" w:asciiTheme="majorAscii" w:hAnsiTheme="majorAscii" w:eastAsiaTheme="majorAscii" w:cstheme="majorAscii"/>
          <w:b w:val="1"/>
          <w:bCs w:val="1"/>
          <w:color w:val="17365D" w:themeColor="text2" w:themeTint="FF" w:themeShade="BF"/>
          <w:sz w:val="28"/>
          <w:szCs w:val="28"/>
          <w:lang w:val="en-US"/>
        </w:rPr>
        <w:t>BCH receives no infrastructure grant funding as local healthcare needs remain</w:t>
      </w:r>
    </w:p>
    <w:p xmlns:wp14="http://schemas.microsoft.com/office/word/2010/wordml" w:rsidP="7E185CC6" w:rsidRDefault="00000000" w14:paraId="00000003"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40" w:lineRule="auto"/>
        <w:rPr>
          <w:rFonts w:ascii="Calibri" w:hAnsi="Calibri" w:eastAsia="Calibri" w:cs="Calibri" w:asciiTheme="majorAscii" w:hAnsiTheme="majorAscii" w:eastAsiaTheme="majorAscii" w:cstheme="majorAscii"/>
          <w:b w:val="1"/>
          <w:bCs w:val="1"/>
          <w:sz w:val="20"/>
          <w:szCs w:val="20"/>
        </w:rPr>
      </w:pPr>
      <w:r w:rsidRPr="7E185CC6" w:rsidR="7E185CC6">
        <w:rPr>
          <w:rFonts w:ascii="Calibri" w:hAnsi="Calibri" w:eastAsia="Calibri" w:cs="Calibri" w:asciiTheme="majorAscii" w:hAnsiTheme="majorAscii" w:eastAsiaTheme="majorAscii" w:cstheme="majorAscii"/>
          <w:b w:val="1"/>
          <w:bCs w:val="1"/>
          <w:sz w:val="20"/>
          <w:szCs w:val="20"/>
        </w:rPr>
        <w:t>Hospital clarifies why federal rural health funding does not replace the proposed two-year levy</w:t>
      </w:r>
    </w:p>
    <w:p w:rsidR="5282C70C" w:rsidP="7E185CC6" w:rsidRDefault="5282C70C" w14:paraId="48A7F7CC" w14:textId="5103BE39">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rtl w:val="0"/>
          <w:lang w:val="en-US"/>
        </w:rPr>
      </w:pPr>
      <w:r w:rsidRPr="7E185CC6" w:rsidR="5282C70C">
        <w:rPr>
          <w:rFonts w:ascii="Calibri" w:hAnsi="Calibri" w:eastAsia="Calibri" w:cs="Calibri" w:asciiTheme="majorAscii" w:hAnsiTheme="majorAscii" w:eastAsiaTheme="majorAscii" w:cstheme="majorAscii"/>
          <w:sz w:val="20"/>
          <w:szCs w:val="20"/>
          <w:lang w:val="en-US"/>
        </w:rPr>
        <w:t>Boundary Community Hospital applied for Idaho’s 2026 Rural Health Transformation infrastructure funding.</w:t>
      </w:r>
      <w:r w:rsidRPr="7E185CC6" w:rsidR="5282C70C">
        <w:rPr>
          <w:rFonts w:ascii="Calibri" w:hAnsi="Calibri" w:eastAsia="Calibri" w:cs="Calibri" w:asciiTheme="majorAscii" w:hAnsiTheme="majorAscii" w:eastAsiaTheme="majorAscii" w:cstheme="majorAscii"/>
          <w:sz w:val="20"/>
          <w:szCs w:val="20"/>
          <w:lang w:val="en-US"/>
        </w:rPr>
        <w:t xml:space="preserve"> As part of the application process, BCH formed a committee to develop, evaluate, and thoroughly review the application before </w:t>
      </w:r>
      <w:r w:rsidRPr="7E185CC6" w:rsidR="5282C70C">
        <w:rPr>
          <w:rFonts w:ascii="Calibri" w:hAnsi="Calibri" w:eastAsia="Calibri" w:cs="Calibri" w:asciiTheme="majorAscii" w:hAnsiTheme="majorAscii" w:eastAsiaTheme="majorAscii" w:cstheme="majorAscii"/>
          <w:sz w:val="20"/>
          <w:szCs w:val="20"/>
          <w:lang w:val="en-US"/>
        </w:rPr>
        <w:t>submitting</w:t>
      </w:r>
      <w:r w:rsidRPr="7E185CC6" w:rsidR="5282C70C">
        <w:rPr>
          <w:rFonts w:ascii="Calibri" w:hAnsi="Calibri" w:eastAsia="Calibri" w:cs="Calibri" w:asciiTheme="majorAscii" w:hAnsiTheme="majorAscii" w:eastAsiaTheme="majorAscii" w:cstheme="majorAscii"/>
          <w:sz w:val="20"/>
          <w:szCs w:val="20"/>
          <w:lang w:val="en-US"/>
        </w:rPr>
        <w:t xml:space="preserve"> it for consideration. Despite these efforts, BCH was not selected for an award, leaving the critical projects outlined in its application without support from this funding source.</w:t>
      </w:r>
    </w:p>
    <w:p xmlns:wp14="http://schemas.microsoft.com/office/word/2010/wordml" w:rsidP="7E185CC6" w:rsidRDefault="00000000" w14:paraId="00000005"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The decision comes as community members ask whether rural healthcare funding associated with the federal legislation commonly called the “One Big Beautiful Bill” eliminates the need for BCH’s proposed levy. It does not. BCH pursued the grant and the levy to address separate needs. Both were needed before the grant decision, and those needs remain today.</w:t>
      </w:r>
    </w:p>
    <w:p xmlns:wp14="http://schemas.microsoft.com/office/word/2010/wordml" w:rsidP="7E185CC6" w:rsidRDefault="00000000" w14:paraId="00000006"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The infrastructure grant application sought funding for specific critical projects. The proposed maintenance and operations levy would provide $1.5 million annually for two years to support emergency services, hospital infrastructure and continued access to local care, as outlined in the levy proposal. Even if BCH had received its requested grant funding, that award would not have replaced the levy. Likewise, the levy was not proposed to take the place of the projects submitted for grant funding.</w:t>
      </w:r>
    </w:p>
    <w:p xmlns:wp14="http://schemas.microsoft.com/office/word/2010/wordml" w:rsidP="7E185CC6" w:rsidRDefault="00000000" w14:paraId="00000007"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Funding announced for rural healthcare nationally is not the same as funding available to Boundary Community Hospital. The Rural Health Transformation Program provides funding to states over five years, but it does not guarantee an award to every rural hospital. BCH received no funding in this infrastructure grant round.</w:t>
      </w:r>
    </w:p>
    <w:p xmlns:wp14="http://schemas.microsoft.com/office/word/2010/wordml" w:rsidP="7E185CC6" w:rsidRDefault="00000000" w14:paraId="00000008"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Hospital leadership is seeking additional information from the Idaho Department of Health and Welfare and the Idaho Hospital Association to understand the selection process. Among its questions is why projects similar to those BCH requested received funding at other hospitals while BCH’s requests were not funded.</w:t>
      </w:r>
    </w:p>
    <w:p xmlns:wp14="http://schemas.microsoft.com/office/word/2010/wordml" w:rsidP="7E185CC6" w:rsidRDefault="00000000" w14:paraId="00000009"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The decision also comes amid continuing financial pressure on rural hospitals nationwide. In its October 13 report, the American Hospital Association warned that workforce shortages, inadequate reimbursement and other financial pressures increasingly threaten access to care in rural communities. More than 40% of rural hospitals operate at a financial loss, according to the report.</w:t>
      </w:r>
    </w:p>
    <w:p xmlns:wp14="http://schemas.microsoft.com/office/word/2010/wordml" w:rsidP="7E185CC6" w:rsidRDefault="00000000" w14:paraId="0000000A"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For Boundary County residents, these challenges concern the availability of emergency care, nearby treatment and hospital services when patients need them. The existence of a federal grant program does not resolve the ongoing costs of maintaining that access.</w:t>
      </w:r>
    </w:p>
    <w:p xmlns:wp14="http://schemas.microsoft.com/office/word/2010/wordml" w:rsidP="7E185CC6" w:rsidRDefault="00000000" w14:paraId="0000000B"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BCH is committed to pursuing every available funding avenue to protect access to care in Boundary County. The hospital applied for infrastructure funding, is seeking answers about this round’s decision and will continue pursuing future grant opportunities. The proposed levy is one part of that broader effort, addressing separate needs from the projects submitted for infrastructure funding.</w:t>
      </w:r>
    </w:p>
    <w:p xmlns:wp14="http://schemas.microsoft.com/office/word/2010/wordml" w:rsidP="7E185CC6" w:rsidRDefault="00000000" w14:paraId="0000000C" wp14:textId="77777777">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sidRPr="7E185CC6" w:rsidR="7E185CC6">
        <w:rPr>
          <w:rFonts w:ascii="Calibri" w:hAnsi="Calibri" w:eastAsia="Calibri" w:cs="Calibri" w:asciiTheme="majorAscii" w:hAnsiTheme="majorAscii" w:eastAsiaTheme="majorAscii" w:cstheme="majorAscii"/>
          <w:sz w:val="20"/>
          <w:szCs w:val="20"/>
          <w:lang w:val="en-US"/>
        </w:rPr>
        <w:t>Future grants remain possible, and BCH will continue working to secure them. But potential future awards cannot be counted as funding available to meet today’s needs. The grant decision leaves BCH’s requested projects unfunded through this round. It does not change the separate needs behind the proposed levy.</w:t>
      </w:r>
    </w:p>
    <w:p xmlns:wp14="http://schemas.microsoft.com/office/word/2010/wordml" w:rsidP="7E185CC6" w:rsidRDefault="00000000" w14:paraId="6CD87931" wp14:textId="22E2AA99">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rtl w:val="0"/>
          <w:lang w:val="en-US"/>
        </w:rPr>
      </w:pPr>
      <w:r w:rsidRPr="7E185CC6" w:rsidR="7E185CC6">
        <w:rPr>
          <w:rFonts w:ascii="Calibri" w:hAnsi="Calibri" w:eastAsia="Calibri" w:cs="Calibri" w:asciiTheme="majorAscii" w:hAnsiTheme="majorAscii" w:eastAsiaTheme="majorAscii" w:cstheme="majorAscii"/>
          <w:sz w:val="20"/>
          <w:szCs w:val="20"/>
          <w:lang w:val="en-US"/>
        </w:rPr>
        <w:t xml:space="preserve">Community members can learn more at </w:t>
      </w:r>
      <w:r>
        <w:fldChar w:fldCharType="begin"/>
      </w:r>
      <w:r>
        <w:instrText xml:space="preserve">HYPERLINK "https://www.boundarycommunityhospital.org" </w:instrText>
      </w:r>
      <w:r>
        <w:fldChar w:fldCharType="separate"/>
      </w:r>
      <w:r w:rsidRPr="7E185CC6" w:rsidR="7E185CC6">
        <w:rPr>
          <w:rStyle w:val="Hyperlink"/>
          <w:rFonts w:ascii="Calibri" w:hAnsi="Calibri" w:eastAsia="Calibri" w:cs="Calibri" w:asciiTheme="majorAscii" w:hAnsiTheme="majorAscii" w:eastAsiaTheme="majorAscii" w:cstheme="majorAscii"/>
          <w:sz w:val="20"/>
          <w:szCs w:val="20"/>
          <w:lang w:val="en-US"/>
        </w:rPr>
        <w:t xml:space="preserve">www.boundarycommunityhospital.org</w:t>
      </w:r>
      <w:r>
        <w:fldChar w:fldCharType="end"/>
      </w:r>
      <w:r w:rsidRPr="7E185CC6" w:rsidR="7E185CC6">
        <w:rPr>
          <w:rFonts w:ascii="Calibri" w:hAnsi="Calibri" w:eastAsia="Calibri" w:cs="Calibri" w:asciiTheme="majorAscii" w:hAnsiTheme="majorAscii" w:eastAsiaTheme="majorAscii" w:cstheme="majorAscii"/>
          <w:sz w:val="20"/>
          <w:szCs w:val="20"/>
          <w:lang w:val="en-US"/>
        </w:rPr>
        <w:t xml:space="preserve">.</w:t>
      </w:r>
      <w:r w:rsidRPr="7E185CC6" w:rsidR="4E41A06F">
        <w:rPr>
          <w:rFonts w:ascii="Calibri" w:hAnsi="Calibri" w:eastAsia="Calibri" w:cs="Calibri" w:asciiTheme="majorAscii" w:hAnsiTheme="majorAscii" w:eastAsiaTheme="majorAscii" w:cstheme="majorAscii"/>
          <w:sz w:val="20"/>
          <w:szCs w:val="20"/>
          <w:lang w:val="en-US"/>
        </w:rPr>
        <w:t xml:space="preserve">  </w:t>
      </w:r>
    </w:p>
    <w:p xmlns:wp14="http://schemas.microsoft.com/office/word/2010/wordml" w:rsidP="7E185CC6" w:rsidRDefault="00000000" wp14:textId="77777777" w14:paraId="0000000E">
      <w:pPr>
        <w:pBdr>
          <w:top w:val="none" w:color="000000" w:sz="0" w:space="0"/>
          <w:left w:val="none" w:color="000000" w:sz="0" w:space="0"/>
          <w:bottom w:val="none" w:color="000000" w:sz="0" w:space="0"/>
          <w:right w:val="none" w:color="000000" w:sz="0" w:space="0"/>
          <w:between w:val="none" w:color="000000" w:sz="0" w:space="0"/>
        </w:pBdr>
        <w:shd w:val="clear" w:color="auto" w:fill="FFFFFF" w:themeFill="background1"/>
        <w:spacing w:after="120" w:line="240" w:lineRule="auto"/>
        <w:rPr>
          <w:rFonts w:ascii="Calibri" w:hAnsi="Calibri" w:eastAsia="Calibri" w:cs="Calibri" w:asciiTheme="majorAscii" w:hAnsiTheme="majorAscii" w:eastAsiaTheme="majorAscii" w:cstheme="majorAscii"/>
          <w:sz w:val="20"/>
          <w:szCs w:val="20"/>
          <w:lang w:val="en-US"/>
        </w:rPr>
      </w:pPr>
      <w:r>
        <w:rPr>
          <w:rFonts w:ascii="Calibri" w:hAnsi="Calibri" w:eastAsia="Calibri" w:cs="Calibri"/>
          <w:sz w:val="21"/>
          <w:szCs w:val="21"/>
          <w:rtl w:val="0"/>
        </w:rPr>
        <w:br w:type="textWrapping"/>
      </w:r>
      <w:r>
        <w:rPr>
          <w:rtl w:val="0"/>
        </w:rPr>
      </w:r>
    </w:p>
    <w:sectPr>
      <w:pgSz w:w="12240" w:h="15840" w:orient="portrait"/>
      <w:pgMar w:top="1440" w:right="1440" w:bottom="1440" w:left="1440" w:header="720" w:footer="720"/>
      <w:pgNumType w:start="1"/>
      <w:cols w:num="1"/>
      <w:headerReference w:type="default" r:id="R765d2d5cdbb646f0"/>
      <w:footerReference w:type="default" r:id="Rff4b2ef2eacf411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E185CC6" w:rsidTr="7E185CC6" w14:paraId="6AC21785">
      <w:trPr>
        <w:trHeight w:val="300"/>
      </w:trPr>
      <w:tc>
        <w:tcPr>
          <w:tcW w:w="3120" w:type="dxa"/>
          <w:tcMar/>
        </w:tcPr>
        <w:p w:rsidR="7E185CC6" w:rsidP="7E185CC6" w:rsidRDefault="7E185CC6" w14:paraId="3F1877BB" w14:textId="157E708F">
          <w:pPr>
            <w:pStyle w:val="Header"/>
            <w:bidi w:val="0"/>
            <w:ind w:left="-115"/>
            <w:jc w:val="left"/>
          </w:pPr>
        </w:p>
      </w:tc>
      <w:tc>
        <w:tcPr>
          <w:tcW w:w="3120" w:type="dxa"/>
          <w:tcMar/>
        </w:tcPr>
        <w:p w:rsidR="7E185CC6" w:rsidP="7E185CC6" w:rsidRDefault="7E185CC6" w14:paraId="4980F2C2" w14:textId="53AEA668">
          <w:pPr>
            <w:pStyle w:val="Header"/>
            <w:bidi w:val="0"/>
            <w:jc w:val="center"/>
          </w:pPr>
        </w:p>
      </w:tc>
      <w:tc>
        <w:tcPr>
          <w:tcW w:w="3120" w:type="dxa"/>
          <w:tcMar/>
        </w:tcPr>
        <w:p w:rsidR="7E185CC6" w:rsidP="7E185CC6" w:rsidRDefault="7E185CC6" w14:paraId="7B7FAABA" w14:textId="2B4FBA80">
          <w:pPr>
            <w:pStyle w:val="Header"/>
            <w:bidi w:val="0"/>
            <w:ind w:right="-115"/>
            <w:jc w:val="right"/>
          </w:pPr>
        </w:p>
      </w:tc>
    </w:tr>
  </w:tbl>
  <w:p w:rsidR="7E185CC6" w:rsidP="7E185CC6" w:rsidRDefault="7E185CC6" w14:paraId="1DEB4C61" w14:textId="0CA9CFF5">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E185CC6" w:rsidTr="7E185CC6" w14:paraId="53150FBA">
      <w:trPr>
        <w:trHeight w:val="300"/>
      </w:trPr>
      <w:tc>
        <w:tcPr>
          <w:tcW w:w="3120" w:type="dxa"/>
          <w:tcMar/>
        </w:tcPr>
        <w:p w:rsidR="7E185CC6" w:rsidP="7E185CC6" w:rsidRDefault="7E185CC6" w14:paraId="6D3B3A07" w14:textId="7F35D33F">
          <w:pPr>
            <w:pStyle w:val="Header"/>
            <w:bidi w:val="0"/>
            <w:ind w:left="-115"/>
            <w:jc w:val="left"/>
          </w:pPr>
        </w:p>
      </w:tc>
      <w:tc>
        <w:tcPr>
          <w:tcW w:w="3120" w:type="dxa"/>
          <w:tcMar/>
        </w:tcPr>
        <w:p w:rsidR="7E185CC6" w:rsidP="7E185CC6" w:rsidRDefault="7E185CC6" w14:paraId="2D5B7EB8" w14:textId="691A28B0">
          <w:pPr>
            <w:pStyle w:val="Header"/>
            <w:bidi w:val="0"/>
            <w:jc w:val="center"/>
          </w:pPr>
          <w:r w:rsidR="7E185CC6">
            <w:drawing>
              <wp:inline wp14:editId="7F83C84C" wp14:anchorId="4AE7B278">
                <wp:extent cx="1827375" cy="914404"/>
                <wp:effectExtent l="0" t="0" r="0" b="0"/>
                <wp:docPr id="209636031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2096360316" name="Picture 2096360316"/>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66762788">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1827375" cy="914404"/>
                        </a:xfrm>
                        <a:prstGeom xmlns:a="http://schemas.openxmlformats.org/drawingml/2006/main" prst="rect">
                          <a:avLst xmlns:a="http://schemas.openxmlformats.org/drawingml/2006/main"/>
                        </a:prstGeom>
                      </pic:spPr>
                    </pic:pic>
                  </a:graphicData>
                </a:graphic>
              </wp:inline>
            </w:drawing>
          </w:r>
        </w:p>
      </w:tc>
      <w:tc>
        <w:tcPr>
          <w:tcW w:w="3120" w:type="dxa"/>
          <w:tcMar/>
        </w:tcPr>
        <w:p w:rsidR="7E185CC6" w:rsidP="7E185CC6" w:rsidRDefault="7E185CC6" w14:paraId="4C0B8674" w14:textId="1B931B50">
          <w:pPr>
            <w:pStyle w:val="Header"/>
            <w:bidi w:val="0"/>
            <w:ind w:right="-115"/>
            <w:jc w:val="right"/>
          </w:pPr>
        </w:p>
      </w:tc>
    </w:tr>
  </w:tbl>
  <w:p w:rsidR="7E185CC6" w:rsidP="7E185CC6" w:rsidRDefault="7E185CC6" w14:paraId="51BC6FA8" w14:textId="7D5413DE">
    <w:pPr>
      <w:pStyle w:val="Header"/>
      <w:bidi w:val="0"/>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14 w15">
  <w:embedTrueTypeFonts w:val="1"/>
  <w:proofState w:spelling="clean" w:grammar="dirty"/>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1BFF2C86"/>
  <w15:docId w15:val="{DF4156D9-7931-4BF8-A69D-B40EF291DCE4}"/>
  <w:rsids>
    <w:rsidRoot w:val="12160671"/>
    <w:rsid w:val="12160671"/>
    <w:rsid w:val="1DC1CF38"/>
    <w:rsid w:val="31317296"/>
    <w:rsid w:val="32740F3D"/>
    <w:rsid w:val="3F3BEA18"/>
    <w:rsid w:val="4E41A06F"/>
    <w:rsid w:val="4E4D05E9"/>
    <w:rsid w:val="5282C70C"/>
    <w:rsid w:val="54922839"/>
    <w:rsid w:val="5D56476B"/>
    <w:rsid w:val="64102B4B"/>
    <w:rsid w:val="659229AF"/>
    <w:rsid w:val="7E185CC6"/>
    <w:rsid w:val="7FA1B27F"/>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mc:Ignorable="wp14">
  <w:docDefaults>
    <w:rPrDefault>
      <w:rPr>
        <w:rFonts w:ascii="Arial" w:hAnsi="Arial" w:eastAsia="Arial" w:cs="Arial"/>
        <w:sz w:val="22"/>
        <w:szCs w:val="22"/>
        <w:lang w:val="en"/>
      </w:rPr>
    </w:rPrDefault>
    <w:pPrDefault>
      <w:pPr>
        <w:spacing w:line="276" w:lineRule="auto"/>
      </w:pPr>
    </w:pPrDefault>
  </w:docDefaults>
  <w:style w:type="table" w:styleId="TableNormal" w:default="1">
    <w:name w:val="Normal Table"/>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400" w:after="120" w:lineRule="auto"/>
    </w:pPr>
    <w:rPr>
      <w:sz w:val="40"/>
      <w:szCs w:val="40"/>
    </w:rPr>
  </w:style>
  <w:style w:type="paragraph" w:styleId="Heading2">
    <w:name w:val="heading 2"/>
    <w:basedOn w:val="Normal"/>
    <w:next w:val="Normal"/>
    <w:pPr>
      <w:keepNext w:val="1"/>
      <w:keepLines w:val="1"/>
      <w:pageBreakBefore w:val="0"/>
      <w:spacing w:before="360" w:after="120" w:lineRule="auto"/>
    </w:pPr>
    <w:rPr>
      <w:b w:val="0"/>
      <w:bCs w:val="0"/>
      <w:sz w:val="32"/>
      <w:szCs w:val="32"/>
    </w:rPr>
  </w:style>
  <w:style w:type="paragraph" w:styleId="Heading3">
    <w:name w:val="heading 3"/>
    <w:basedOn w:val="Normal"/>
    <w:next w:val="Normal"/>
    <w:pPr>
      <w:keepNext w:val="1"/>
      <w:keepLines w:val="1"/>
      <w:pageBreakBefore w:val="0"/>
      <w:spacing w:before="320" w:after="80" w:lineRule="auto"/>
    </w:pPr>
    <w:rPr>
      <w:b w:val="0"/>
      <w:bCs w:val="0"/>
      <w:color w:val="434343"/>
      <w:sz w:val="28"/>
      <w:szCs w:val="28"/>
    </w:rPr>
  </w:style>
  <w:style w:type="paragraph" w:styleId="Heading4">
    <w:name w:val="heading 4"/>
    <w:basedOn w:val="Normal"/>
    <w:next w:val="Normal"/>
    <w:pPr>
      <w:keepNext w:val="1"/>
      <w:keepLines w:val="1"/>
      <w:pageBreakBefore w:val="0"/>
      <w:spacing w:before="280" w:after="80" w:lineRule="auto"/>
    </w:pPr>
    <w:rPr>
      <w:color w:val="666666"/>
      <w:sz w:val="24"/>
      <w:szCs w:val="24"/>
    </w:rPr>
  </w:style>
  <w:style w:type="paragraph" w:styleId="Heading5">
    <w:name w:val="heading 5"/>
    <w:basedOn w:val="Normal"/>
    <w:next w:val="Normal"/>
    <w:pPr>
      <w:keepNext w:val="1"/>
      <w:keepLines w:val="1"/>
      <w:pageBreakBefore w:val="0"/>
      <w:spacing w:before="240" w:after="80" w:lineRule="auto"/>
    </w:pPr>
    <w:rPr>
      <w:color w:val="666666"/>
      <w:sz w:val="22"/>
      <w:szCs w:val="22"/>
    </w:rPr>
  </w:style>
  <w:style w:type="paragraph" w:styleId="Heading6">
    <w:name w:val="heading 6"/>
    <w:basedOn w:val="Normal"/>
    <w:next w:val="Normal"/>
    <w:pPr>
      <w:keepNext w:val="1"/>
      <w:keepLines w:val="1"/>
      <w:pageBreakBefore w:val="0"/>
      <w:spacing w:before="240" w:after="80" w:lineRule="auto"/>
    </w:pPr>
    <w:rPr>
      <w:i w:val="1"/>
      <w:iCs w:val="1"/>
      <w:color w:val="666666"/>
      <w:sz w:val="22"/>
      <w:szCs w:val="22"/>
    </w:rPr>
  </w:style>
  <w:style w:type="paragraph" w:styleId="Title">
    <w:name w:val="Title"/>
    <w:basedOn w:val="Normal"/>
    <w:next w:val="Normal"/>
    <w:pPr>
      <w:keepNext w:val="1"/>
      <w:keepLines w:val="1"/>
      <w:pageBreakBefore w:val="0"/>
      <w:spacing w:before="0" w:after="60" w:lineRule="auto"/>
    </w:pPr>
    <w:rPr>
      <w:sz w:val="52"/>
      <w:szCs w:val="52"/>
    </w:rPr>
  </w:style>
  <w:style w:type="paragraph" w:styleId="Subtitle">
    <w:name w:val="Subtitle"/>
    <w:basedOn w:val="Normal"/>
    <w:next w:val="Normal"/>
    <w:pPr>
      <w:keepNext w:val="1"/>
      <w:keepLines w:val="1"/>
      <w:pageBreakBefore w:val="0"/>
      <w:spacing w:before="0" w:after="320" w:lineRule="auto"/>
    </w:pPr>
    <w:rPr>
      <w:rFonts w:ascii="Arial" w:hAnsi="Arial" w:eastAsia="Arial" w:cs="Arial"/>
      <w:i w:val="0"/>
      <w:iCs w:val="0"/>
      <w:color w:val="666666"/>
      <w:sz w:val="30"/>
      <w:szCs w:val="30"/>
    </w:rPr>
  </w:style>
  <w:style w:type="paragraph" w:styleId="TableofFigures">
    <w:name w:val="table of figures"/>
    <w:basedOn w:val="Normal"/>
    <w:next w:val="Normal"/>
  </w:style>
  <w:style w:type="character" w:styleId="DefaultParagraphFont" w:default="1">
    <w:uiPriority w:val="1"/>
    <w:name w:val="Default Paragraph Font"/>
    <w:semiHidden/>
    <w:unhideWhenUsed/>
    <w:rsid w:val="7E185CC6"/>
  </w:style>
  <w:style w:type="character" w:styleId="Hyperlink">
    <w:uiPriority w:val="99"/>
    <w:name w:val="Hyperlink"/>
    <w:basedOn w:val="DefaultParagraphFont"/>
    <w:unhideWhenUsed/>
    <w:rsid w:val="7E185CC6"/>
    <w:rPr>
      <w:color w:val="0000FF"/>
      <w:u w:val="single"/>
    </w:rPr>
  </w:style>
  <w:style w:type="paragraph" w:styleId="Header">
    <w:uiPriority w:val="99"/>
    <w:name w:val="header"/>
    <w:basedOn w:val="Normal"/>
    <w:unhideWhenUsed/>
    <w:rsid w:val="7E185CC6"/>
    <w:pPr>
      <w:tabs>
        <w:tab w:val="center" w:leader="none" w:pos="4680"/>
        <w:tab w:val="right" w:leader="none" w:pos="9360"/>
      </w:tabs>
      <w:spacing w:after="0" w:line="240" w:lineRule="auto"/>
    </w:pPr>
  </w:style>
  <w:style w:type="paragraph" w:styleId="Footer">
    <w:uiPriority w:val="99"/>
    <w:name w:val="footer"/>
    <w:basedOn w:val="Normal"/>
    <w:unhideWhenUsed/>
    <w:rsid w:val="7E185CC6"/>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styles" Target="styles.xml" Id="rId5" /><Relationship Type="http://schemas.openxmlformats.org/officeDocument/2006/relationships/header" Target="header.xml" Id="R765d2d5cdbb646f0" /><Relationship Type="http://schemas.openxmlformats.org/officeDocument/2006/relationships/footer" Target="footer.xml" Id="Rff4b2ef2eacf4111" /></Relationships>
</file>

<file path=word/_rels/header.xml.rels>&#65279;<?xml version="1.0" encoding="utf-8"?><Relationships xmlns="http://schemas.openxmlformats.org/package/2006/relationships"><Relationship Type="http://schemas.openxmlformats.org/officeDocument/2006/relationships/image" Target="/media/image.png" Id="rId36676278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ap="http://schemas.openxmlformats.org/officeDocument/2006/extended-properties">
  <ap:AppVersion>16.0000</ap:AppVersion>
  <ap:Application>Microsoft Word for the web</ap:Application>
  <ap:LinksUpToDate>false</ap:LinksUpToDate>
</ap:Properties>
</file>